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72E" w:rsidRDefault="00D24D5B">
      <w:pPr>
        <w:spacing w:line="500" w:lineRule="exact"/>
        <w:jc w:val="center"/>
        <w:rPr>
          <w:rFonts w:ascii="黑体" w:eastAsia="黑体" w:hAnsi="黑体"/>
          <w:color w:val="000000"/>
          <w:sz w:val="40"/>
          <w:szCs w:val="40"/>
        </w:rPr>
      </w:pPr>
      <w:r>
        <w:rPr>
          <w:rFonts w:ascii="黑体" w:eastAsia="黑体" w:hAnsi="黑体" w:hint="eastAsia"/>
          <w:color w:val="000000"/>
          <w:sz w:val="40"/>
          <w:szCs w:val="40"/>
        </w:rPr>
        <w:t>202</w:t>
      </w:r>
      <w:r>
        <w:rPr>
          <w:rFonts w:ascii="黑体" w:eastAsia="黑体" w:hAnsi="黑体" w:hint="eastAsia"/>
          <w:color w:val="000000"/>
          <w:sz w:val="40"/>
          <w:szCs w:val="40"/>
        </w:rPr>
        <w:t>4</w:t>
      </w:r>
      <w:r>
        <w:rPr>
          <w:rFonts w:ascii="黑体" w:eastAsia="黑体" w:hAnsi="黑体" w:hint="eastAsia"/>
          <w:color w:val="000000"/>
          <w:sz w:val="40"/>
          <w:szCs w:val="40"/>
        </w:rPr>
        <w:t>年硕士研究生入学考试自命题考试大纲</w:t>
      </w:r>
    </w:p>
    <w:p w:rsidR="0006072E" w:rsidRDefault="0006072E">
      <w:pPr>
        <w:spacing w:line="400" w:lineRule="exact"/>
        <w:ind w:firstLineChars="150" w:firstLine="482"/>
        <w:jc w:val="center"/>
        <w:rPr>
          <w:rFonts w:ascii="仿宋" w:eastAsia="仿宋" w:hAnsi="仿宋"/>
          <w:b/>
          <w:color w:val="000000"/>
          <w:sz w:val="32"/>
          <w:szCs w:val="32"/>
        </w:rPr>
      </w:pPr>
    </w:p>
    <w:p w:rsidR="0006072E" w:rsidRPr="003C0595" w:rsidRDefault="00D24D5B" w:rsidP="003C0595">
      <w:pPr>
        <w:widowControl/>
        <w:spacing w:line="440" w:lineRule="exact"/>
        <w:ind w:firstLineChars="200" w:firstLine="562"/>
        <w:rPr>
          <w:rFonts w:ascii="宋体" w:hAnsi="宋体"/>
          <w:b/>
          <w:kern w:val="0"/>
          <w:sz w:val="28"/>
          <w:szCs w:val="28"/>
        </w:rPr>
      </w:pPr>
      <w:bookmarkStart w:id="0" w:name="_GoBack"/>
      <w:r w:rsidRPr="003C0595">
        <w:rPr>
          <w:rFonts w:ascii="宋体" w:hAnsi="宋体" w:hint="eastAsia"/>
          <w:b/>
          <w:kern w:val="0"/>
          <w:sz w:val="28"/>
          <w:szCs w:val="28"/>
        </w:rPr>
        <w:t>考试科目代码：</w:t>
      </w:r>
      <w:r w:rsidR="00730687">
        <w:rPr>
          <w:rFonts w:ascii="宋体" w:hAnsi="宋体" w:hint="eastAsia"/>
          <w:b/>
          <w:kern w:val="0"/>
          <w:sz w:val="28"/>
          <w:szCs w:val="28"/>
        </w:rPr>
        <w:t>[</w:t>
      </w:r>
      <w:r w:rsidR="00730687">
        <w:rPr>
          <w:rFonts w:ascii="宋体" w:hAnsi="宋体"/>
          <w:b/>
          <w:kern w:val="0"/>
          <w:sz w:val="28"/>
          <w:szCs w:val="28"/>
        </w:rPr>
        <w:t xml:space="preserve">  ]</w:t>
      </w:r>
      <w:r w:rsidRPr="003C0595">
        <w:rPr>
          <w:rFonts w:ascii="宋体" w:hAnsi="宋体" w:hint="eastAsia"/>
          <w:b/>
          <w:kern w:val="0"/>
          <w:sz w:val="28"/>
          <w:szCs w:val="28"/>
        </w:rPr>
        <w:t xml:space="preserve">     </w:t>
      </w:r>
      <w:r w:rsidRPr="003C0595">
        <w:rPr>
          <w:rFonts w:ascii="宋体" w:hAnsi="宋体" w:hint="eastAsia"/>
          <w:b/>
          <w:kern w:val="0"/>
          <w:sz w:val="28"/>
          <w:szCs w:val="28"/>
        </w:rPr>
        <w:t>考试科目名称：</w:t>
      </w:r>
      <w:r w:rsidRPr="003C0595">
        <w:rPr>
          <w:rFonts w:ascii="宋体" w:hAnsi="宋体" w:hint="eastAsia"/>
          <w:b/>
          <w:kern w:val="0"/>
          <w:sz w:val="28"/>
          <w:szCs w:val="28"/>
        </w:rPr>
        <w:t xml:space="preserve"> </w:t>
      </w:r>
      <w:r w:rsidRPr="003C0595">
        <w:rPr>
          <w:rFonts w:ascii="宋体" w:hAnsi="宋体" w:hint="eastAsia"/>
          <w:b/>
          <w:kern w:val="0"/>
          <w:sz w:val="28"/>
          <w:szCs w:val="28"/>
        </w:rPr>
        <w:t>民事诉讼法学</w:t>
      </w:r>
    </w:p>
    <w:bookmarkEnd w:id="0"/>
    <w:p w:rsidR="0006072E" w:rsidRDefault="0006072E">
      <w:pPr>
        <w:spacing w:line="400" w:lineRule="exact"/>
        <w:ind w:firstLineChars="200" w:firstLine="643"/>
        <w:rPr>
          <w:rFonts w:ascii="仿宋" w:eastAsia="仿宋" w:hAnsi="仿宋"/>
          <w:b/>
          <w:color w:val="000000"/>
          <w:sz w:val="32"/>
          <w:szCs w:val="32"/>
        </w:rPr>
      </w:pPr>
    </w:p>
    <w:p w:rsidR="0006072E" w:rsidRDefault="00D24D5B">
      <w:pPr>
        <w:widowControl/>
        <w:spacing w:before="156" w:after="156" w:line="440" w:lineRule="exact"/>
        <w:ind w:firstLineChars="196" w:firstLine="549"/>
        <w:jc w:val="left"/>
        <w:rPr>
          <w:rFonts w:ascii="黑体" w:eastAsia="黑体" w:hAnsi="黑体"/>
          <w:bCs/>
          <w:kern w:val="0"/>
          <w:sz w:val="28"/>
          <w:szCs w:val="28"/>
        </w:rPr>
      </w:pPr>
      <w:r>
        <w:rPr>
          <w:rFonts w:ascii="黑体" w:eastAsia="黑体" w:hAnsi="黑体" w:hint="eastAsia"/>
          <w:bCs/>
          <w:kern w:val="0"/>
          <w:sz w:val="28"/>
          <w:szCs w:val="28"/>
        </w:rPr>
        <w:t>一、试卷结构</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1.</w:t>
      </w:r>
      <w:r>
        <w:rPr>
          <w:rFonts w:ascii="仿宋_GB2312" w:eastAsia="仿宋_GB2312" w:hAnsi="Calibri" w:hint="eastAsia"/>
          <w:kern w:val="0"/>
          <w:sz w:val="28"/>
          <w:szCs w:val="28"/>
        </w:rPr>
        <w:t>试卷成绩及考试时间</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本试卷满分为</w:t>
      </w:r>
      <w:r>
        <w:rPr>
          <w:rFonts w:ascii="仿宋_GB2312" w:eastAsia="仿宋_GB2312" w:hAnsi="Calibri" w:hint="eastAsia"/>
          <w:kern w:val="0"/>
          <w:sz w:val="28"/>
          <w:szCs w:val="28"/>
        </w:rPr>
        <w:t>150</w:t>
      </w:r>
      <w:r>
        <w:rPr>
          <w:rFonts w:ascii="仿宋_GB2312" w:eastAsia="仿宋_GB2312" w:hAnsi="Calibri" w:hint="eastAsia"/>
          <w:kern w:val="0"/>
          <w:sz w:val="28"/>
          <w:szCs w:val="28"/>
        </w:rPr>
        <w:t>分，考试时间为</w:t>
      </w:r>
      <w:r>
        <w:rPr>
          <w:rFonts w:ascii="仿宋_GB2312" w:eastAsia="仿宋_GB2312" w:hAnsi="Calibri" w:hint="eastAsia"/>
          <w:kern w:val="0"/>
          <w:sz w:val="28"/>
          <w:szCs w:val="28"/>
        </w:rPr>
        <w:t>120</w:t>
      </w:r>
      <w:r>
        <w:rPr>
          <w:rFonts w:ascii="仿宋_GB2312" w:eastAsia="仿宋_GB2312" w:hAnsi="Calibri" w:hint="eastAsia"/>
          <w:kern w:val="0"/>
          <w:sz w:val="28"/>
          <w:szCs w:val="28"/>
        </w:rPr>
        <w:t>分钟。</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2.</w:t>
      </w:r>
      <w:r>
        <w:rPr>
          <w:rFonts w:ascii="仿宋_GB2312" w:eastAsia="仿宋_GB2312" w:hAnsi="Calibri" w:hint="eastAsia"/>
          <w:kern w:val="0"/>
          <w:sz w:val="28"/>
          <w:szCs w:val="28"/>
        </w:rPr>
        <w:t>答题方式：闭卷、笔试</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3.</w:t>
      </w:r>
      <w:r>
        <w:rPr>
          <w:rFonts w:ascii="仿宋_GB2312" w:eastAsia="仿宋_GB2312" w:hAnsi="Calibri" w:hint="eastAsia"/>
          <w:kern w:val="0"/>
          <w:sz w:val="28"/>
          <w:szCs w:val="28"/>
        </w:rPr>
        <w:t>试卷内容结构</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民事诉讼法基础理论</w:t>
      </w:r>
      <w:r>
        <w:rPr>
          <w:rFonts w:ascii="仿宋_GB2312" w:eastAsia="仿宋_GB2312" w:hAnsi="Calibri" w:hint="eastAsia"/>
          <w:kern w:val="0"/>
          <w:sz w:val="28"/>
          <w:szCs w:val="28"/>
        </w:rPr>
        <w:t>40</w:t>
      </w:r>
      <w:r>
        <w:rPr>
          <w:rFonts w:ascii="仿宋_GB2312" w:eastAsia="仿宋_GB2312" w:hAnsi="Calibri" w:hint="eastAsia"/>
          <w:kern w:val="0"/>
          <w:sz w:val="28"/>
          <w:szCs w:val="28"/>
        </w:rPr>
        <w:t>分，民事诉讼审判程序制度（管辖制度、当事人制度、普通程序、简易程序、二审程序、民事诉讼中的裁判、再审程序、特别程序）</w:t>
      </w:r>
      <w:r>
        <w:rPr>
          <w:rFonts w:ascii="仿宋_GB2312" w:eastAsia="仿宋_GB2312" w:hAnsi="Calibri" w:hint="eastAsia"/>
          <w:kern w:val="0"/>
          <w:sz w:val="28"/>
          <w:szCs w:val="28"/>
        </w:rPr>
        <w:t>50</w:t>
      </w:r>
      <w:r>
        <w:rPr>
          <w:rFonts w:ascii="仿宋_GB2312" w:eastAsia="仿宋_GB2312" w:hAnsi="Calibri" w:hint="eastAsia"/>
          <w:kern w:val="0"/>
          <w:sz w:val="28"/>
          <w:szCs w:val="28"/>
        </w:rPr>
        <w:t>分，民事诉讼证据制度</w:t>
      </w:r>
      <w:r>
        <w:rPr>
          <w:rFonts w:ascii="仿宋_GB2312" w:eastAsia="仿宋_GB2312" w:hAnsi="Calibri" w:hint="eastAsia"/>
          <w:kern w:val="0"/>
          <w:sz w:val="28"/>
          <w:szCs w:val="28"/>
        </w:rPr>
        <w:t>30</w:t>
      </w:r>
      <w:r>
        <w:rPr>
          <w:rFonts w:ascii="仿宋_GB2312" w:eastAsia="仿宋_GB2312" w:hAnsi="Calibri" w:hint="eastAsia"/>
          <w:kern w:val="0"/>
          <w:sz w:val="28"/>
          <w:szCs w:val="28"/>
        </w:rPr>
        <w:t>分，民事执行制度</w:t>
      </w:r>
      <w:r>
        <w:rPr>
          <w:rFonts w:ascii="仿宋_GB2312" w:eastAsia="仿宋_GB2312" w:hAnsi="Calibri" w:hint="eastAsia"/>
          <w:kern w:val="0"/>
          <w:sz w:val="28"/>
          <w:szCs w:val="28"/>
        </w:rPr>
        <w:t>30</w:t>
      </w:r>
      <w:r>
        <w:rPr>
          <w:rFonts w:ascii="仿宋_GB2312" w:eastAsia="仿宋_GB2312" w:hAnsi="Calibri" w:hint="eastAsia"/>
          <w:kern w:val="0"/>
          <w:sz w:val="28"/>
          <w:szCs w:val="28"/>
        </w:rPr>
        <w:t>分。</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4.</w:t>
      </w:r>
      <w:r>
        <w:rPr>
          <w:rFonts w:ascii="仿宋_GB2312" w:eastAsia="仿宋_GB2312" w:hAnsi="Calibri" w:hint="eastAsia"/>
          <w:kern w:val="0"/>
          <w:sz w:val="28"/>
          <w:szCs w:val="28"/>
        </w:rPr>
        <w:t>题型结构</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名词解释题：</w:t>
      </w:r>
      <w:r>
        <w:rPr>
          <w:rFonts w:ascii="仿宋_GB2312" w:eastAsia="仿宋_GB2312" w:hAnsi="Calibri" w:hint="eastAsia"/>
          <w:kern w:val="0"/>
          <w:sz w:val="28"/>
          <w:szCs w:val="28"/>
        </w:rPr>
        <w:t>4</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5</w:t>
      </w:r>
      <w:r>
        <w:rPr>
          <w:rFonts w:ascii="仿宋_GB2312" w:eastAsia="仿宋_GB2312" w:hAnsi="Calibri" w:hint="eastAsia"/>
          <w:kern w:val="0"/>
          <w:sz w:val="28"/>
          <w:szCs w:val="28"/>
        </w:rPr>
        <w:t>分，共</w:t>
      </w:r>
      <w:r>
        <w:rPr>
          <w:rFonts w:ascii="仿宋_GB2312" w:eastAsia="仿宋_GB2312" w:hAnsi="Calibri" w:hint="eastAsia"/>
          <w:kern w:val="0"/>
          <w:sz w:val="28"/>
          <w:szCs w:val="28"/>
        </w:rPr>
        <w:t>20</w:t>
      </w:r>
      <w:r>
        <w:rPr>
          <w:rFonts w:ascii="仿宋_GB2312" w:eastAsia="仿宋_GB2312" w:hAnsi="Calibri" w:hint="eastAsia"/>
          <w:kern w:val="0"/>
          <w:sz w:val="28"/>
          <w:szCs w:val="28"/>
        </w:rPr>
        <w:t>分；</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简</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答</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题：</w:t>
      </w:r>
      <w:r>
        <w:rPr>
          <w:rFonts w:ascii="仿宋_GB2312" w:eastAsia="仿宋_GB2312" w:hAnsi="Calibri" w:hint="eastAsia"/>
          <w:kern w:val="0"/>
          <w:sz w:val="28"/>
          <w:szCs w:val="28"/>
        </w:rPr>
        <w:t>4</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10</w:t>
      </w:r>
      <w:r>
        <w:rPr>
          <w:rFonts w:ascii="仿宋_GB2312" w:eastAsia="仿宋_GB2312" w:hAnsi="Calibri" w:hint="eastAsia"/>
          <w:kern w:val="0"/>
          <w:sz w:val="28"/>
          <w:szCs w:val="28"/>
        </w:rPr>
        <w:t>分，共</w:t>
      </w:r>
      <w:r>
        <w:rPr>
          <w:rFonts w:ascii="仿宋_GB2312" w:eastAsia="仿宋_GB2312" w:hAnsi="Calibri" w:hint="eastAsia"/>
          <w:kern w:val="0"/>
          <w:sz w:val="28"/>
          <w:szCs w:val="28"/>
        </w:rPr>
        <w:t>40</w:t>
      </w:r>
      <w:r>
        <w:rPr>
          <w:rFonts w:ascii="仿宋_GB2312" w:eastAsia="仿宋_GB2312" w:hAnsi="Calibri" w:hint="eastAsia"/>
          <w:kern w:val="0"/>
          <w:sz w:val="28"/>
          <w:szCs w:val="28"/>
        </w:rPr>
        <w:t>分；</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案例分析题：</w:t>
      </w:r>
      <w:r>
        <w:rPr>
          <w:rFonts w:ascii="仿宋_GB2312" w:eastAsia="仿宋_GB2312" w:hAnsi="Calibri" w:hint="eastAsia"/>
          <w:kern w:val="0"/>
          <w:sz w:val="28"/>
          <w:szCs w:val="28"/>
        </w:rPr>
        <w:t>1</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20</w:t>
      </w:r>
      <w:r>
        <w:rPr>
          <w:rFonts w:ascii="仿宋_GB2312" w:eastAsia="仿宋_GB2312" w:hAnsi="Calibri" w:hint="eastAsia"/>
          <w:kern w:val="0"/>
          <w:sz w:val="28"/>
          <w:szCs w:val="28"/>
        </w:rPr>
        <w:t>分，共</w:t>
      </w:r>
      <w:r>
        <w:rPr>
          <w:rFonts w:ascii="仿宋_GB2312" w:eastAsia="仿宋_GB2312" w:hAnsi="Calibri" w:hint="eastAsia"/>
          <w:kern w:val="0"/>
          <w:sz w:val="28"/>
          <w:szCs w:val="28"/>
        </w:rPr>
        <w:t>20</w:t>
      </w:r>
      <w:r>
        <w:rPr>
          <w:rFonts w:ascii="仿宋_GB2312" w:eastAsia="仿宋_GB2312" w:hAnsi="Calibri" w:hint="eastAsia"/>
          <w:kern w:val="0"/>
          <w:sz w:val="28"/>
          <w:szCs w:val="28"/>
        </w:rPr>
        <w:t>分；</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论</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述</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题：</w:t>
      </w:r>
      <w:r>
        <w:rPr>
          <w:rFonts w:ascii="仿宋_GB2312" w:eastAsia="仿宋_GB2312" w:hAnsi="Calibri" w:hint="eastAsia"/>
          <w:kern w:val="0"/>
          <w:sz w:val="28"/>
          <w:szCs w:val="28"/>
        </w:rPr>
        <w:t>2</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 xml:space="preserve"> 35</w:t>
      </w:r>
      <w:r>
        <w:rPr>
          <w:rFonts w:ascii="仿宋_GB2312" w:eastAsia="仿宋_GB2312" w:hAnsi="Calibri" w:hint="eastAsia"/>
          <w:kern w:val="0"/>
          <w:sz w:val="28"/>
          <w:szCs w:val="28"/>
        </w:rPr>
        <w:t>分，共</w:t>
      </w:r>
      <w:r>
        <w:rPr>
          <w:rFonts w:ascii="仿宋_GB2312" w:eastAsia="仿宋_GB2312" w:hAnsi="Calibri" w:hint="eastAsia"/>
          <w:kern w:val="0"/>
          <w:sz w:val="28"/>
          <w:szCs w:val="28"/>
        </w:rPr>
        <w:t>70</w:t>
      </w:r>
      <w:r>
        <w:rPr>
          <w:rFonts w:ascii="仿宋_GB2312" w:eastAsia="仿宋_GB2312" w:hAnsi="Calibri" w:hint="eastAsia"/>
          <w:kern w:val="0"/>
          <w:sz w:val="28"/>
          <w:szCs w:val="28"/>
        </w:rPr>
        <w:t>分</w:t>
      </w:r>
    </w:p>
    <w:p w:rsidR="0006072E" w:rsidRDefault="00D24D5B">
      <w:pPr>
        <w:widowControl/>
        <w:spacing w:before="156" w:after="156" w:line="440" w:lineRule="exact"/>
        <w:ind w:firstLineChars="196" w:firstLine="549"/>
        <w:jc w:val="left"/>
        <w:rPr>
          <w:rFonts w:ascii="黑体" w:eastAsia="黑体" w:hAnsi="黑体"/>
          <w:bCs/>
          <w:kern w:val="0"/>
          <w:sz w:val="28"/>
          <w:szCs w:val="28"/>
        </w:rPr>
      </w:pPr>
      <w:r>
        <w:rPr>
          <w:rFonts w:ascii="黑体" w:eastAsia="黑体" w:hAnsi="黑体" w:hint="eastAsia"/>
          <w:bCs/>
          <w:kern w:val="0"/>
          <w:sz w:val="28"/>
          <w:szCs w:val="28"/>
        </w:rPr>
        <w:t>二、考试内容与考试要求</w:t>
      </w:r>
    </w:p>
    <w:p w:rsidR="0006072E" w:rsidRDefault="00D24D5B">
      <w:pPr>
        <w:widowControl/>
        <w:spacing w:after="200" w:line="440" w:lineRule="exact"/>
        <w:ind w:firstLine="480"/>
        <w:jc w:val="left"/>
        <w:rPr>
          <w:rFonts w:ascii="仿宋_GB2312" w:eastAsia="仿宋_GB2312" w:hAnsi="宋体"/>
          <w:b/>
          <w:color w:val="000000"/>
          <w:kern w:val="0"/>
          <w:sz w:val="28"/>
          <w:szCs w:val="28"/>
          <w:lang w:bidi="hi-IN"/>
        </w:rPr>
      </w:pPr>
      <w:r>
        <w:rPr>
          <w:rFonts w:ascii="仿宋_GB2312" w:eastAsia="仿宋_GB2312" w:hAnsi="宋体" w:hint="eastAsia"/>
          <w:b/>
          <w:color w:val="000000"/>
          <w:kern w:val="0"/>
          <w:sz w:val="28"/>
          <w:szCs w:val="28"/>
          <w:lang w:bidi="hi-IN"/>
        </w:rPr>
        <w:t>●考试目标：</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通过考试，全面系统地检验学生对民事诉讼法的基本概念、基本制度和基本理论的掌握情况。</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让考试成为考生学习发展的正面导向，使学生形成扎实的专业素养，引导考生自主学习、自主发现、自主创造，引导考生养成积极、能动的学习习惯，形成良好的学风。</w:t>
      </w:r>
    </w:p>
    <w:p w:rsidR="0006072E" w:rsidRDefault="00D24D5B">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强调以人为本，致力于考生专业知识、专业能力和综合素质的协调发展，引导考生不断养成学以致用、理论联系实际的能力，提高考生的创新意识和自学能力。</w:t>
      </w:r>
    </w:p>
    <w:p w:rsidR="0006072E" w:rsidRDefault="00D24D5B">
      <w:pPr>
        <w:widowControl/>
        <w:spacing w:after="200" w:line="440" w:lineRule="exact"/>
        <w:ind w:firstLine="480"/>
        <w:jc w:val="left"/>
        <w:rPr>
          <w:rFonts w:ascii="仿宋_GB2312" w:eastAsia="仿宋_GB2312" w:hAnsi="宋体"/>
          <w:b/>
          <w:color w:val="000000"/>
          <w:kern w:val="0"/>
          <w:sz w:val="28"/>
          <w:szCs w:val="28"/>
          <w:lang w:bidi="hi-IN"/>
        </w:rPr>
      </w:pPr>
      <w:r>
        <w:rPr>
          <w:rFonts w:ascii="仿宋_GB2312" w:eastAsia="仿宋_GB2312" w:hAnsi="宋体" w:hint="eastAsia"/>
          <w:b/>
          <w:color w:val="000000"/>
          <w:kern w:val="0"/>
          <w:sz w:val="28"/>
          <w:szCs w:val="28"/>
          <w:lang w:bidi="hi-IN"/>
        </w:rPr>
        <w:t>●考试内容及要求</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（一）民事诉讼法学理论</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民事诉讼法学及其研究对象；</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民事诉讼法学体系和研习方法；</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民事纠纷；</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民事纠纷的解决机制；</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民事诉讼；</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民事诉讼法</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考试要求：掌握民事纠纷、民事诉讼、民事诉讼法的概念；理解和掌握民事纠纷的解决机制。</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民事诉讼法律关系</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民事诉讼法律关系概述；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民事诉讼法律关系要素</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考试要求：掌握民事诉讼法律关</w:t>
      </w:r>
      <w:r>
        <w:rPr>
          <w:rFonts w:ascii="仿宋_GB2312" w:eastAsia="仿宋_GB2312" w:hAnsi="宋体" w:hint="eastAsia"/>
          <w:color w:val="000000"/>
          <w:kern w:val="0"/>
          <w:sz w:val="28"/>
          <w:szCs w:val="28"/>
          <w:lang w:bidi="hi-IN"/>
        </w:rPr>
        <w:t>系的概念；理解掌握民事诉讼法律关系三要素及诉讼上的法律事实。</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（三）</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民事诉讼中的诉权和诉</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民事诉讼中的诉权；</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诉的概说；</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诉的要素；</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诉的种类；</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民事诉讼中的诉</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考试要求：了解诉权的含义及诉权的价值；诉的制度、掌握诉的种类及反诉制度、诉的要素。</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（四）民事诉讼法的基本原则</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民事诉讼法基本原则概说；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诉讼权利平等原则；</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处分原则；</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辩论原则；</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诚实信用原则</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FF0000"/>
          <w:kern w:val="0"/>
          <w:sz w:val="28"/>
          <w:szCs w:val="28"/>
          <w:lang w:bidi="hi-IN"/>
        </w:rPr>
        <w:t xml:space="preserve"> </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检察监督原则</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掌握理解辩论原则、处分原则的内容和要求；了解民事诉讼基本原则的概念和意义。</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（五）</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民事审判的基本制度</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合议制度；</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回避制度；</w:t>
      </w:r>
      <w:r>
        <w:rPr>
          <w:rFonts w:ascii="仿宋_GB2312" w:eastAsia="仿宋_GB2312" w:hAnsi="宋体" w:hint="eastAsia"/>
          <w:color w:val="000000"/>
          <w:kern w:val="0"/>
          <w:sz w:val="28"/>
          <w:szCs w:val="28"/>
          <w:lang w:bidi="hi-IN"/>
        </w:rPr>
        <w:t xml:space="preserve"> 3.</w:t>
      </w:r>
      <w:r>
        <w:rPr>
          <w:rFonts w:ascii="仿宋_GB2312" w:eastAsia="仿宋_GB2312" w:hAnsi="宋体" w:hint="eastAsia"/>
          <w:color w:val="000000"/>
          <w:kern w:val="0"/>
          <w:sz w:val="28"/>
          <w:szCs w:val="28"/>
          <w:lang w:bidi="hi-IN"/>
        </w:rPr>
        <w:t>公开审判制度；</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两审终审制度</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陪审制度</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sz w:val="28"/>
          <w:lang w:bidi="hi-IN"/>
        </w:rPr>
        <w:lastRenderedPageBreak/>
        <w:t>考试要求：理解并掌握合议、回避、公开审判、两审终审等基本制度，了解审判委员会与合议庭的关系，</w:t>
      </w:r>
      <w:r>
        <w:rPr>
          <w:rFonts w:ascii="仿宋_GB2312" w:eastAsia="仿宋_GB2312" w:hAnsi="宋体" w:hint="eastAsia"/>
          <w:color w:val="F44837"/>
          <w:kern w:val="0"/>
          <w:sz w:val="28"/>
          <w:szCs w:val="28"/>
          <w:lang w:bidi="hi-IN"/>
        </w:rPr>
        <w:t>了解独任制审判范围的扩大。</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（六）　受案范围与管辖</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人民法院受案范围；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人民法院管辖概述；</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级别管辖；</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地域管辖；</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裁定管辖和管辖权异议</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考试要求：理解并掌握级别管辖、地域管辖，掌握我国现行管辖规则并能运用于实践。</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（七）当事人</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 xml:space="preserve">当事人概述；　</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共同诉讼人；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诉讼代表人；</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诉讼中的第</w:t>
      </w:r>
      <w:r>
        <w:rPr>
          <w:rFonts w:ascii="仿宋_GB2312" w:eastAsia="仿宋_GB2312" w:hAnsi="宋体" w:hint="eastAsia"/>
          <w:color w:val="000000"/>
          <w:kern w:val="0"/>
          <w:sz w:val="28"/>
          <w:szCs w:val="28"/>
          <w:lang w:bidi="hi-IN"/>
        </w:rPr>
        <w:t>三人</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考试要求：了解当事人的种类、称谓、当事人的诉讼权利能力和诉讼行为能力、当事人诉讼权利与义务以及诉讼权利义务的承担、共同诉讼人和诉讼代表人、诉讼中第三人的概念。</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（八）诉讼代理人</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诉讼代理人的概述；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法定代理人；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委托代理人</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考试要求：理解诉讼代理制度的本质和作用；掌握诉讼代理人的特点和不同种类诉讼代理人的区别；正确适用诉讼代理的法律规定。</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（九）民事诉讼证据</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民事诉讼证据概述；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民事诉讼证据的分类；</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民事诉讼证据的种类；</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证据的收集、交换和保全</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考试要求：理解民事诉讼证据的特征、作用、种类和分类；会证据能力的含义和确定我国民事诉讼证据证明力的规则。</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（十）民事诉讼证明</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1.</w:t>
      </w:r>
      <w:r>
        <w:rPr>
          <w:rFonts w:ascii="仿宋_GB2312" w:eastAsia="仿宋_GB2312" w:hAnsi="宋体" w:hint="eastAsia"/>
          <w:color w:val="000000"/>
          <w:kern w:val="0"/>
          <w:sz w:val="28"/>
          <w:szCs w:val="28"/>
          <w:lang w:bidi="hi-IN"/>
        </w:rPr>
        <w:t>民事诉讼证明概述；</w:t>
      </w:r>
      <w:r>
        <w:rPr>
          <w:rFonts w:ascii="仿宋_GB2312" w:eastAsia="仿宋_GB2312" w:hAnsi="宋体" w:hint="eastAsia"/>
          <w:color w:val="000000"/>
          <w:kern w:val="0"/>
          <w:sz w:val="28"/>
          <w:szCs w:val="28"/>
          <w:lang w:bidi="hi-IN"/>
        </w:rPr>
        <w:t xml:space="preserve"> 2.</w:t>
      </w:r>
      <w:r>
        <w:rPr>
          <w:rFonts w:ascii="仿宋_GB2312" w:eastAsia="仿宋_GB2312" w:hAnsi="宋体" w:hint="eastAsia"/>
          <w:color w:val="000000"/>
          <w:kern w:val="0"/>
          <w:sz w:val="28"/>
          <w:szCs w:val="28"/>
          <w:lang w:bidi="hi-IN"/>
        </w:rPr>
        <w:t>证明对象；</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证明责任；</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证明标准</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刑事诉讼的证明过程</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民事诉讼和行政诉讼的证明过程</w:t>
      </w:r>
      <w:r>
        <w:rPr>
          <w:rFonts w:ascii="仿宋_GB2312" w:eastAsia="仿宋_GB2312" w:hAnsi="宋体" w:hint="eastAsia"/>
          <w:color w:val="FF0000"/>
          <w:kern w:val="0"/>
          <w:sz w:val="28"/>
          <w:szCs w:val="28"/>
          <w:lang w:bidi="hi-IN"/>
        </w:rPr>
        <w:t>7.</w:t>
      </w:r>
      <w:r>
        <w:rPr>
          <w:rFonts w:ascii="仿宋_GB2312" w:eastAsia="仿宋_GB2312" w:hAnsi="宋体" w:hint="eastAsia"/>
          <w:color w:val="FF0000"/>
          <w:kern w:val="0"/>
          <w:sz w:val="28"/>
          <w:szCs w:val="28"/>
          <w:lang w:bidi="hi-IN"/>
        </w:rPr>
        <w:t>推定与司法认知</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考试要求：理解并掌握证明对象的概念、作用和范围；民事诉讼证明标准；理解并掌握证明责任的概念及分配标准</w:t>
      </w:r>
      <w:r>
        <w:rPr>
          <w:rFonts w:ascii="仿宋_GB2312" w:eastAsia="仿宋_GB2312" w:hAnsi="宋体" w:hint="eastAsia"/>
          <w:color w:val="000000"/>
          <w:kern w:val="0"/>
          <w:sz w:val="28"/>
          <w:szCs w:val="28"/>
          <w:lang w:bidi="hi-IN"/>
        </w:rPr>
        <w:t>，</w:t>
      </w:r>
      <w:r>
        <w:rPr>
          <w:rFonts w:ascii="仿宋_GB2312" w:eastAsia="仿宋_GB2312" w:hAnsi="宋体" w:hint="eastAsia"/>
          <w:color w:val="FF0000"/>
          <w:kern w:val="0"/>
          <w:sz w:val="28"/>
          <w:szCs w:val="28"/>
          <w:lang w:bidi="hi-IN"/>
        </w:rPr>
        <w:t>理解并掌握刑事诉讼的证明过程；民事诉讼和行政诉讼的证明过程；推定与司法认知。</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（十一）</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法院调解</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法院调解概述；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法院调解的原则和程</w:t>
      </w:r>
      <w:r>
        <w:rPr>
          <w:rFonts w:ascii="仿宋_GB2312" w:eastAsia="仿宋_GB2312" w:hAnsi="宋体" w:hint="eastAsia"/>
          <w:color w:val="000000"/>
          <w:kern w:val="0"/>
          <w:sz w:val="28"/>
          <w:szCs w:val="28"/>
          <w:lang w:bidi="hi-IN"/>
        </w:rPr>
        <w:t>序；</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法院调解书的形式和效力</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考试要求：理解并掌握法院调解书的形式和效力</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，理解并掌握法院调解的性质、特征和意义。</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（十二）诉讼保障制度</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保全；</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先予执行；</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妨害民事诉讼的强制措施</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考试要求：理解并掌握保全、先予执行的概念；强制措施的种类及其适用；了解保全、先予执行的种类及适用的程序。</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（十三）期间、送达和诉讼费用</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期间；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送达；</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诉讼费用</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考试要求：理解并掌握期间的概念、计算及补救；理解并掌握送达的方式及效力；了解诉讼费用的种类、诉讼费用的预交和管理、诉讼费用的负担原则。</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（十四）普通程序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普通程序概述；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起诉和受理；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审理前的准备；</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开庭审理；</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撤诉和缺席审理；</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诉讼中止和诉讼终结；</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民事判决、裁定和决定</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w:t>
      </w:r>
      <w:r>
        <w:rPr>
          <w:rFonts w:ascii="仿宋_GB2312" w:eastAsia="仿宋_GB2312" w:hAnsi="宋体" w:hint="eastAsia"/>
          <w:color w:val="000000"/>
          <w:kern w:val="0"/>
          <w:sz w:val="28"/>
          <w:szCs w:val="28"/>
          <w:lang w:bidi="hi-IN"/>
        </w:rPr>
        <w:t>考试要求：理解并掌握普通程序的含义、内容；理解并掌握普通程序的各项法律规定；了解民事判决的既判力。</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（十五）简易程序和小额诉讼程序</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简易程序概述；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简易程序的特点；</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简易程序的适用</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考试要求：了解简易程序的含义、特点和意义；理解并掌握简易程序的法律规定；理解并掌握小额诉讼程序制度；了解简易程序的适用范围及简易程序与普通程序的关系。</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（十</w:t>
      </w:r>
      <w:r>
        <w:rPr>
          <w:rFonts w:ascii="仿宋_GB2312" w:eastAsia="仿宋_GB2312" w:hAnsi="宋体" w:hint="eastAsia"/>
          <w:color w:val="000000"/>
          <w:kern w:val="0"/>
          <w:sz w:val="28"/>
          <w:szCs w:val="28"/>
          <w:lang w:bidi="hi-IN"/>
        </w:rPr>
        <w:t>六）第二审程序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第二审程序概述；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上诉案件的提起和审理；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上诉案件的裁判</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考试要求：理解并掌握第二审程序的含义、性质和意义；理解并掌握提起上诉的条件和程序；理解并掌握上诉案件的裁判；理解并掌握第二审程序的审理范围。</w:t>
      </w:r>
    </w:p>
    <w:p w:rsidR="0006072E" w:rsidRDefault="00D24D5B">
      <w:pPr>
        <w:widowControl/>
        <w:numPr>
          <w:ilvl w:val="0"/>
          <w:numId w:val="1"/>
        </w:numPr>
        <w:spacing w:after="200" w:line="440" w:lineRule="exact"/>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再审程序</w:t>
      </w:r>
    </w:p>
    <w:p w:rsidR="0006072E" w:rsidRDefault="00D24D5B">
      <w:pPr>
        <w:widowControl/>
        <w:spacing w:after="200" w:line="440" w:lineRule="exact"/>
        <w:ind w:left="84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FF0000"/>
          <w:kern w:val="0"/>
          <w:sz w:val="28"/>
          <w:szCs w:val="28"/>
          <w:lang w:bidi="hi-IN"/>
        </w:rPr>
        <w:t>再审</w:t>
      </w:r>
      <w:r>
        <w:rPr>
          <w:rFonts w:ascii="仿宋_GB2312" w:eastAsia="仿宋_GB2312" w:hAnsi="宋体" w:hint="eastAsia"/>
          <w:color w:val="FF0000"/>
          <w:kern w:val="0"/>
          <w:sz w:val="28"/>
          <w:szCs w:val="28"/>
          <w:lang w:bidi="hi-IN"/>
        </w:rPr>
        <w:t>程序</w:t>
      </w:r>
      <w:r>
        <w:rPr>
          <w:rFonts w:ascii="仿宋_GB2312" w:eastAsia="仿宋_GB2312" w:hAnsi="宋体" w:hint="eastAsia"/>
          <w:color w:val="000000"/>
          <w:kern w:val="0"/>
          <w:sz w:val="28"/>
          <w:szCs w:val="28"/>
          <w:lang w:bidi="hi-IN"/>
        </w:rPr>
        <w:t>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人民法院提起的</w:t>
      </w:r>
      <w:r>
        <w:rPr>
          <w:rFonts w:ascii="仿宋_GB2312" w:eastAsia="仿宋_GB2312" w:hAnsi="宋体" w:hint="eastAsia"/>
          <w:color w:val="00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人民检察院提起的</w:t>
      </w:r>
      <w:r>
        <w:rPr>
          <w:rFonts w:ascii="仿宋_GB2312" w:eastAsia="仿宋_GB2312" w:hAnsi="宋体" w:hint="eastAsia"/>
          <w:color w:val="FF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因当事人申请再审而开始的</w:t>
      </w:r>
      <w:r>
        <w:rPr>
          <w:rFonts w:ascii="仿宋_GB2312" w:eastAsia="仿宋_GB2312" w:hAnsi="宋体" w:hint="eastAsia"/>
          <w:color w:val="FF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再审的诉讼程序</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案外人再审；</w:t>
      </w:r>
      <w:r>
        <w:rPr>
          <w:rFonts w:ascii="仿宋_GB2312" w:eastAsia="仿宋_GB2312" w:hAnsi="宋体" w:hint="eastAsia"/>
          <w:color w:val="FF0000"/>
          <w:kern w:val="0"/>
          <w:sz w:val="28"/>
          <w:szCs w:val="28"/>
          <w:lang w:bidi="hi-IN"/>
        </w:rPr>
        <w:t>7.</w:t>
      </w:r>
      <w:r>
        <w:rPr>
          <w:rFonts w:ascii="仿宋_GB2312" w:eastAsia="仿宋_GB2312" w:hAnsi="宋体" w:hint="eastAsia"/>
          <w:color w:val="FF0000"/>
          <w:kern w:val="0"/>
          <w:sz w:val="28"/>
          <w:szCs w:val="28"/>
          <w:lang w:bidi="hi-IN"/>
        </w:rPr>
        <w:t>第三人撤销之诉</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考试要求：理解并掌握再审事由、再审审理程序、再审裁判的法律效力；了解审判监督程序的性质、特点、意义及与第二审程序的区别；</w:t>
      </w:r>
      <w:r>
        <w:rPr>
          <w:rFonts w:ascii="仿宋_GB2312" w:eastAsia="仿宋_GB2312" w:hAnsi="宋体" w:hint="eastAsia"/>
          <w:color w:val="FF0000"/>
          <w:kern w:val="0"/>
          <w:sz w:val="28"/>
          <w:szCs w:val="28"/>
          <w:lang w:bidi="hi-IN"/>
        </w:rPr>
        <w:t>理解并掌握案外人申请再审和第三人撤销之诉的关系。</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（十八）</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特别程序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特别程序概说；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非讼程序的基础理论；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选民资格案件程序；</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宣告公民失踪和宣告公民死亡案件的审理程序；</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认定公民无民事行为能力和限制民事行为能力案件的审理程序；</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认定财产无主案件的审理程序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考试要求：理解并掌握特别程序的含义、特点和适用范围；理解并掌握</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选民资格案件、宣告公民失踪和宣告公民死亡案件、</w:t>
      </w:r>
      <w:r>
        <w:rPr>
          <w:rFonts w:ascii="仿宋_GB2312" w:eastAsia="仿宋_GB2312" w:hAnsi="宋体" w:hint="eastAsia"/>
          <w:color w:val="000000"/>
          <w:kern w:val="0"/>
          <w:sz w:val="28"/>
          <w:szCs w:val="28"/>
          <w:lang w:bidi="hi-IN"/>
        </w:rPr>
        <w:t>认定公民无行为能力或限制行为能力案件、指定或撤销监护人和变更监护关系案件以及认定财产无主案件审理程序的具体规定；理解并掌握非讼程序的基础理论。</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（十九）督促程序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督促程序概述；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支付令的申请和受理；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人民法院对支付令申请的审查和处理；</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债务人异议和督促程序的终结</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考试要求：理解并掌握督促程序的含义、适用范围和特点；理解并掌握我国民事诉讼法关于支付令的申请、发出和对支付令的异议所作的具体规定。</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（二十）公示催告程序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公示催告程序概说；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公示催告程序的适用范围；</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公示催告案件的审理</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考试要求：理解并掌握公示催告程序的含义、适用范围和特点；理解并掌握我国民事诉讼法关于公示催告申请的提起和受理、公示催告案件的审理所作的具体规定；除权判决。</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（二十一）执行程序</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执行程序概述；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执行的一般规定；</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执行原则；</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执行开始；</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执行措施；</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执行结束；</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执行回转</w:t>
      </w:r>
      <w:r>
        <w:rPr>
          <w:rFonts w:ascii="仿宋_GB2312" w:eastAsia="仿宋_GB2312" w:hAnsi="宋体" w:hint="eastAsia"/>
          <w:color w:val="FF0000"/>
          <w:kern w:val="0"/>
          <w:sz w:val="28"/>
          <w:szCs w:val="28"/>
          <w:lang w:bidi="hi-IN"/>
        </w:rPr>
        <w:t>；</w:t>
      </w:r>
      <w:r>
        <w:rPr>
          <w:rFonts w:ascii="仿宋_GB2312" w:eastAsia="仿宋_GB2312" w:hAnsi="宋体" w:hint="eastAsia"/>
          <w:color w:val="FF0000"/>
          <w:kern w:val="0"/>
          <w:sz w:val="28"/>
          <w:szCs w:val="28"/>
          <w:lang w:bidi="hi-IN"/>
        </w:rPr>
        <w:t>8</w:t>
      </w:r>
      <w:r>
        <w:rPr>
          <w:rFonts w:ascii="仿宋_GB2312" w:eastAsia="仿宋_GB2312" w:hAnsi="宋体" w:hint="eastAsia"/>
          <w:color w:val="FF0000"/>
          <w:kern w:val="0"/>
          <w:sz w:val="28"/>
          <w:szCs w:val="28"/>
          <w:lang w:bidi="hi-IN"/>
        </w:rPr>
        <w:t>、执行救济；</w:t>
      </w:r>
      <w:r>
        <w:rPr>
          <w:rFonts w:ascii="仿宋_GB2312" w:eastAsia="仿宋_GB2312" w:hAnsi="宋体" w:hint="eastAsia"/>
          <w:color w:val="FF0000"/>
          <w:kern w:val="0"/>
          <w:sz w:val="28"/>
          <w:szCs w:val="28"/>
          <w:lang w:bidi="hi-IN"/>
        </w:rPr>
        <w:t>9</w:t>
      </w:r>
      <w:r>
        <w:rPr>
          <w:rFonts w:ascii="仿宋_GB2312" w:eastAsia="仿宋_GB2312" w:hAnsi="宋体" w:hint="eastAsia"/>
          <w:color w:val="FF0000"/>
          <w:kern w:val="0"/>
          <w:sz w:val="28"/>
          <w:szCs w:val="28"/>
          <w:lang w:bidi="hi-IN"/>
        </w:rPr>
        <w:t>、执行异议；</w:t>
      </w:r>
      <w:r>
        <w:rPr>
          <w:rFonts w:ascii="仿宋_GB2312" w:eastAsia="仿宋_GB2312" w:hAnsi="宋体" w:hint="eastAsia"/>
          <w:color w:val="FF0000"/>
          <w:kern w:val="0"/>
          <w:sz w:val="28"/>
          <w:szCs w:val="28"/>
          <w:lang w:bidi="hi-IN"/>
        </w:rPr>
        <w:t>10</w:t>
      </w:r>
      <w:r>
        <w:rPr>
          <w:rFonts w:ascii="仿宋_GB2312" w:eastAsia="仿宋_GB2312" w:hAnsi="宋体" w:hint="eastAsia"/>
          <w:color w:val="FF0000"/>
          <w:kern w:val="0"/>
          <w:sz w:val="28"/>
          <w:szCs w:val="28"/>
          <w:lang w:bidi="hi-IN"/>
        </w:rPr>
        <w:t>、第三人异议之诉；</w:t>
      </w:r>
      <w:r>
        <w:rPr>
          <w:rFonts w:ascii="仿宋_GB2312" w:eastAsia="仿宋_GB2312" w:hAnsi="宋体" w:hint="eastAsia"/>
          <w:color w:val="FF0000"/>
          <w:kern w:val="0"/>
          <w:sz w:val="28"/>
          <w:szCs w:val="28"/>
          <w:lang w:bidi="hi-IN"/>
        </w:rPr>
        <w:t>11</w:t>
      </w:r>
      <w:r>
        <w:rPr>
          <w:rFonts w:ascii="仿宋_GB2312" w:eastAsia="仿宋_GB2312" w:hAnsi="宋体" w:hint="eastAsia"/>
          <w:color w:val="FF0000"/>
          <w:kern w:val="0"/>
          <w:sz w:val="28"/>
          <w:szCs w:val="28"/>
          <w:lang w:bidi="hi-IN"/>
        </w:rPr>
        <w:t>、许可执行之诉；</w:t>
      </w:r>
      <w:r>
        <w:rPr>
          <w:rFonts w:ascii="仿宋_GB2312" w:eastAsia="仿宋_GB2312" w:hAnsi="宋体" w:hint="eastAsia"/>
          <w:color w:val="FF0000"/>
          <w:kern w:val="0"/>
          <w:sz w:val="28"/>
          <w:szCs w:val="28"/>
          <w:lang w:bidi="hi-IN"/>
        </w:rPr>
        <w:t>12</w:t>
      </w:r>
      <w:r>
        <w:rPr>
          <w:rFonts w:ascii="仿宋_GB2312" w:eastAsia="仿宋_GB2312" w:hAnsi="宋体" w:hint="eastAsia"/>
          <w:color w:val="FF0000"/>
          <w:kern w:val="0"/>
          <w:sz w:val="28"/>
          <w:szCs w:val="28"/>
          <w:lang w:bidi="hi-IN"/>
        </w:rPr>
        <w:t>、执行冲突；</w:t>
      </w:r>
      <w:r>
        <w:rPr>
          <w:rFonts w:ascii="仿宋_GB2312" w:eastAsia="仿宋_GB2312" w:hAnsi="宋体" w:hint="eastAsia"/>
          <w:color w:val="FF0000"/>
          <w:kern w:val="0"/>
          <w:sz w:val="28"/>
          <w:szCs w:val="28"/>
          <w:lang w:bidi="hi-IN"/>
        </w:rPr>
        <w:t>13</w:t>
      </w:r>
      <w:r>
        <w:rPr>
          <w:rFonts w:ascii="仿宋_GB2312" w:eastAsia="仿宋_GB2312" w:hAnsi="宋体" w:hint="eastAsia"/>
          <w:color w:val="FF0000"/>
          <w:kern w:val="0"/>
          <w:sz w:val="28"/>
          <w:szCs w:val="28"/>
          <w:lang w:bidi="hi-IN"/>
        </w:rPr>
        <w:t>、参与分配</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考试要求：理解并掌握执行的概念、意义与特点</w:t>
      </w:r>
      <w:r>
        <w:rPr>
          <w:rFonts w:ascii="仿宋_GB2312" w:eastAsia="仿宋_GB2312" w:hAnsi="宋体" w:hint="eastAsia"/>
          <w:color w:val="000000"/>
          <w:kern w:val="0"/>
          <w:sz w:val="28"/>
          <w:szCs w:val="28"/>
          <w:lang w:bidi="hi-IN"/>
        </w:rPr>
        <w:t>；掌握执行的一般规定、执行开始、执行结束、执行回转等内容；理解并掌握执行程序与审理程序的关系；了解执行权的性质；</w:t>
      </w:r>
      <w:r>
        <w:rPr>
          <w:rFonts w:ascii="仿宋_GB2312" w:eastAsia="仿宋_GB2312" w:hAnsi="宋体" w:hint="eastAsia"/>
          <w:color w:val="FF0000"/>
          <w:kern w:val="0"/>
          <w:sz w:val="28"/>
          <w:szCs w:val="28"/>
          <w:lang w:bidi="hi-IN"/>
        </w:rPr>
        <w:t>掌握执行救济制度、理解并掌握第三人异议之诉制度参与分配制度。</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（二十二）涉外民事诉讼程序的特别规定</w:t>
      </w:r>
      <w:r>
        <w:rPr>
          <w:rFonts w:ascii="仿宋_GB2312" w:eastAsia="仿宋_GB2312" w:hAnsi="宋体" w:hint="eastAsia"/>
          <w:color w:val="000000"/>
          <w:kern w:val="0"/>
          <w:sz w:val="28"/>
          <w:szCs w:val="28"/>
          <w:lang w:bidi="hi-IN"/>
        </w:rPr>
        <w:t xml:space="preserve"> </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1.</w:t>
      </w:r>
      <w:r>
        <w:rPr>
          <w:rFonts w:ascii="仿宋_GB2312" w:eastAsia="仿宋_GB2312" w:hAnsi="宋体" w:hint="eastAsia"/>
          <w:color w:val="000000"/>
          <w:kern w:val="0"/>
          <w:sz w:val="28"/>
          <w:szCs w:val="28"/>
          <w:lang w:bidi="hi-IN"/>
        </w:rPr>
        <w:t>涉外民事诉讼程序概述；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涉外民事诉讼程序的一般原则；</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管辖；</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送达、期间；</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财产保全；</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涉外诉讼与涉外仲裁；</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司法协助</w:t>
      </w:r>
    </w:p>
    <w:p w:rsidR="0006072E" w:rsidRDefault="00D24D5B">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考试要求：理解并掌握涉外民事诉讼程序的概念、意义；理解并掌握司法协助的概念。</w:t>
      </w:r>
    </w:p>
    <w:sectPr w:rsidR="0006072E">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D5B" w:rsidRDefault="00D24D5B">
      <w:r>
        <w:separator/>
      </w:r>
    </w:p>
  </w:endnote>
  <w:endnote w:type="continuationSeparator" w:id="0">
    <w:p w:rsidR="00D24D5B" w:rsidRDefault="00D2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2E" w:rsidRDefault="00D24D5B">
    <w:pPr>
      <w:pStyle w:val="a5"/>
      <w:framePr w:wrap="around" w:vAnchor="text" w:hAnchor="margin" w:xAlign="right" w:y="1"/>
      <w:tabs>
        <w:tab w:val="clear" w:pos="4153"/>
        <w:tab w:val="clear" w:pos="8306"/>
      </w:tabs>
    </w:pPr>
    <w:r>
      <w:fldChar w:fldCharType="begin"/>
    </w:r>
    <w:r>
      <w:rPr>
        <w:rStyle w:val="a9"/>
      </w:rPr>
      <w:instrText xml:space="preserve">PAGE  </w:instrText>
    </w:r>
    <w:r>
      <w:fldChar w:fldCharType="end"/>
    </w:r>
  </w:p>
  <w:p w:rsidR="0006072E" w:rsidRDefault="0006072E">
    <w:pPr>
      <w:pStyle w:val="a5"/>
      <w:tabs>
        <w:tab w:val="clear" w:pos="4153"/>
        <w:tab w:val="clear" w:pos="8306"/>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2E" w:rsidRDefault="00D24D5B">
    <w:pPr>
      <w:pStyle w:val="a5"/>
      <w:framePr w:wrap="around" w:vAnchor="text" w:hAnchor="margin" w:xAlign="right" w:y="1"/>
      <w:tabs>
        <w:tab w:val="clear" w:pos="4153"/>
        <w:tab w:val="clear" w:pos="8306"/>
      </w:tabs>
    </w:pPr>
    <w:r>
      <w:fldChar w:fldCharType="begin"/>
    </w:r>
    <w:r>
      <w:rPr>
        <w:rStyle w:val="a9"/>
      </w:rPr>
      <w:instrText xml:space="preserve">PAGE  </w:instrText>
    </w:r>
    <w:r>
      <w:fldChar w:fldCharType="separate"/>
    </w:r>
    <w:r w:rsidR="00730687">
      <w:rPr>
        <w:rStyle w:val="a9"/>
        <w:noProof/>
      </w:rPr>
      <w:t>1</w:t>
    </w:r>
    <w:r>
      <w:fldChar w:fldCharType="end"/>
    </w:r>
  </w:p>
  <w:p w:rsidR="0006072E" w:rsidRDefault="0006072E">
    <w:pPr>
      <w:pStyle w:val="a5"/>
      <w:tabs>
        <w:tab w:val="clear" w:pos="4153"/>
        <w:tab w:val="clear" w:pos="830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D5B" w:rsidRDefault="00D24D5B">
      <w:r>
        <w:separator/>
      </w:r>
    </w:p>
  </w:footnote>
  <w:footnote w:type="continuationSeparator" w:id="0">
    <w:p w:rsidR="00D24D5B" w:rsidRDefault="00D2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2E" w:rsidRDefault="0006072E">
    <w:pPr>
      <w:pStyle w:val="a6"/>
      <w:pBdr>
        <w:bottom w:val="none" w:sz="0" w:space="0" w:color="000000"/>
      </w:pBd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0930A"/>
    <w:multiLevelType w:val="singleLevel"/>
    <w:tmpl w:val="1BA0930A"/>
    <w:lvl w:ilvl="0">
      <w:start w:val="17"/>
      <w:numFmt w:val="chineseCounting"/>
      <w:suff w:val="nothing"/>
      <w:lvlText w:val="（%1）"/>
      <w:lvlJc w:val="left"/>
      <w:pPr>
        <w:ind w:left="8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72E"/>
    <w:rsid w:val="0006072E"/>
    <w:rsid w:val="003C0595"/>
    <w:rsid w:val="00730687"/>
    <w:rsid w:val="00D24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81FA3"/>
  <w15:docId w15:val="{7F3A38E0-999F-4B6D-89FC-48CCB5E8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rPr>
  </w:style>
  <w:style w:type="paragraph" w:styleId="1">
    <w:name w:val="heading 1"/>
    <w:basedOn w:val="a"/>
    <w:pPr>
      <w:keepNext/>
      <w:keepLines/>
      <w:spacing w:before="340" w:after="330" w:line="578" w:lineRule="auto"/>
      <w:outlineLvl w:val="0"/>
    </w:pPr>
    <w:rPr>
      <w:rFonts w:ascii="Calibri" w:hAnsi="Calibri"/>
      <w:b/>
      <w:bCs/>
      <w:kern w:val="44"/>
      <w:sz w:val="44"/>
      <w:szCs w:val="44"/>
    </w:rPr>
  </w:style>
  <w:style w:type="paragraph" w:styleId="2">
    <w:name w:val="heading 2"/>
    <w:basedOn w:val="a"/>
    <w:link w:val="20"/>
    <w:pPr>
      <w:keepNext/>
      <w:keepLines/>
      <w:spacing w:before="260" w:after="260" w:line="416" w:lineRule="auto"/>
      <w:outlineLvl w:val="1"/>
    </w:pPr>
    <w:rPr>
      <w:rFonts w:ascii="Cambria" w:hAnsi="Cambria"/>
      <w:b/>
      <w:bCs/>
      <w:sz w:val="32"/>
      <w:szCs w:val="32"/>
    </w:rPr>
  </w:style>
  <w:style w:type="paragraph" w:styleId="3">
    <w:name w:val="heading 3"/>
    <w:basedOn w:val="a"/>
    <w:link w:val="30"/>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Pr>
      <w:rFonts w:ascii="Cambria" w:eastAsia="宋体" w:hAnsi="Cambria"/>
      <w:b/>
      <w:bCs/>
      <w:kern w:val="2"/>
      <w:sz w:val="32"/>
      <w:szCs w:val="32"/>
      <w:lang w:val="en-US" w:eastAsia="zh-CN" w:bidi="ar-SA"/>
    </w:rPr>
  </w:style>
  <w:style w:type="character" w:customStyle="1" w:styleId="30">
    <w:name w:val="标题 3 字符"/>
    <w:link w:val="3"/>
    <w:rPr>
      <w:rFonts w:ascii="Calibri" w:eastAsia="宋体" w:hAnsi="Calibri"/>
      <w:b/>
      <w:bCs/>
      <w:kern w:val="2"/>
      <w:sz w:val="32"/>
      <w:szCs w:val="32"/>
      <w:lang w:val="en-US" w:eastAsia="zh-CN" w:bidi="ar-SA"/>
    </w:rPr>
  </w:style>
  <w:style w:type="paragraph" w:styleId="a3">
    <w:name w:val="annotation text"/>
    <w:basedOn w:val="a"/>
    <w:pPr>
      <w:jc w:val="left"/>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paragraph" w:styleId="a7">
    <w:name w:val="Title"/>
    <w:basedOn w:val="a"/>
    <w:link w:val="a8"/>
    <w:pPr>
      <w:spacing w:before="240" w:after="60"/>
      <w:jc w:val="center"/>
      <w:outlineLvl w:val="0"/>
    </w:pPr>
    <w:rPr>
      <w:rFonts w:ascii="Cambria" w:hAnsi="Cambria"/>
      <w:b/>
      <w:bCs/>
      <w:sz w:val="32"/>
      <w:szCs w:val="32"/>
    </w:rPr>
  </w:style>
  <w:style w:type="character" w:customStyle="1" w:styleId="a8">
    <w:name w:val="标题 字符"/>
    <w:link w:val="a7"/>
    <w:rPr>
      <w:rFonts w:ascii="Cambria" w:eastAsia="宋体" w:hAnsi="Cambria"/>
      <w:b/>
      <w:bCs/>
      <w:kern w:val="2"/>
      <w:sz w:val="32"/>
      <w:szCs w:val="32"/>
      <w:lang w:val="en-US" w:eastAsia="zh-CN" w:bidi="ar-SA"/>
    </w:rPr>
  </w:style>
  <w:style w:type="character" w:styleId="a9">
    <w:name w:val="page number"/>
    <w:basedOn w:val="a0"/>
  </w:style>
  <w:style w:type="character" w:customStyle="1" w:styleId="CharChar3">
    <w:name w:val="Char Char3"/>
    <w:rPr>
      <w:rFonts w:ascii="Calibri" w:hAnsi="Calibr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周怡年</cp:lastModifiedBy>
  <cp:revision>1</cp:revision>
  <dcterms:created xsi:type="dcterms:W3CDTF">2023-06-21T01:45:00Z</dcterms:created>
  <dcterms:modified xsi:type="dcterms:W3CDTF">2023-06-21T02:13:00Z</dcterms:modified>
</cp:coreProperties>
</file>