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auto"/>
          <w:sz w:val="40"/>
          <w:szCs w:val="40"/>
          <w:highlight w:val="none"/>
        </w:rPr>
      </w:pPr>
      <w:bookmarkStart w:id="0" w:name="_GoBack"/>
      <w:r>
        <w:rPr>
          <w:rFonts w:eastAsia="黑体"/>
          <w:b/>
          <w:color w:val="auto"/>
          <w:sz w:val="40"/>
          <w:szCs w:val="40"/>
          <w:highlight w:val="none"/>
          <w:lang w:bidi="hi-IN"/>
        </w:rPr>
        <w:t>202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 w:bidi="hi-IN"/>
        </w:rPr>
        <w:t>6</w:t>
      </w:r>
      <w:r>
        <w:rPr>
          <w:rFonts w:eastAsia="黑体"/>
          <w:b/>
          <w:color w:val="auto"/>
          <w:sz w:val="40"/>
          <w:szCs w:val="40"/>
          <w:highlight w:val="none"/>
        </w:rPr>
        <w:t>年硕士研究生入学考试自命题考试大纲</w:t>
      </w:r>
    </w:p>
    <w:p w14:paraId="1A54FA5B">
      <w:pPr>
        <w:spacing w:line="320" w:lineRule="atLeast"/>
        <w:ind w:firstLine="482" w:firstLineChars="15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49153F89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考试科目代码：[</w:t>
      </w:r>
      <w:r>
        <w:rPr>
          <w:rFonts w:eastAsia="仿宋"/>
          <w:b/>
          <w:color w:val="auto"/>
          <w:sz w:val="28"/>
          <w:szCs w:val="28"/>
          <w:highlight w:val="none"/>
        </w:rPr>
        <w:t>813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 xml:space="preserve">]   </w:t>
      </w:r>
      <w:r>
        <w:rPr>
          <w:rFonts w:eastAsia="仿宋"/>
          <w:b/>
          <w:color w:val="auto"/>
          <w:sz w:val="28"/>
          <w:szCs w:val="28"/>
          <w:highlight w:val="none"/>
        </w:rPr>
        <w:t xml:space="preserve">      考试科目名称：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机械设计</w:t>
      </w:r>
      <w:r>
        <w:rPr>
          <w:rFonts w:eastAsia="仿宋"/>
          <w:b/>
          <w:color w:val="auto"/>
          <w:sz w:val="28"/>
          <w:szCs w:val="28"/>
          <w:highlight w:val="none"/>
        </w:rPr>
        <w:t>基础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（初试）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本试卷满分为150分，考试时间为180分钟。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3、题型结构</w:t>
      </w:r>
    </w:p>
    <w:p w14:paraId="0B43E703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简答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7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小题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5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，共3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分。</w:t>
      </w:r>
    </w:p>
    <w:p w14:paraId="5EA4C0C7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计算分析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小题，每小题15分，共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75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分。</w:t>
      </w:r>
    </w:p>
    <w:p w14:paraId="29C0EB67">
      <w:pPr>
        <w:spacing w:line="320" w:lineRule="atLeast"/>
        <w:ind w:firstLine="1120" w:firstLineChars="400"/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设计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综合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2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小题，每小题20分，共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分。</w:t>
      </w:r>
    </w:p>
    <w:p w14:paraId="71848CDF">
      <w:pPr>
        <w:spacing w:line="320" w:lineRule="atLeast"/>
        <w:rPr>
          <w:rFonts w:eastAsia="仿宋"/>
          <w:b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二、</w:t>
      </w:r>
      <w:r>
        <w:rPr>
          <w:rFonts w:eastAsia="仿宋"/>
          <w:b/>
          <w:color w:val="auto"/>
          <w:kern w:val="0"/>
          <w:sz w:val="28"/>
          <w:szCs w:val="28"/>
          <w:highlight w:val="none"/>
        </w:rPr>
        <w:t>参考书目：</w:t>
      </w:r>
    </w:p>
    <w:p w14:paraId="051D4D83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杨可桢，程光蕴，李仲生，钱瑞明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. 《</w:t>
      </w:r>
      <w:r>
        <w:rPr>
          <w:rFonts w:hint="eastAsia" w:eastAsia="仿宋"/>
          <w:color w:val="auto"/>
          <w:sz w:val="28"/>
          <w:szCs w:val="28"/>
          <w:highlight w:val="none"/>
        </w:rPr>
        <w:t>机械设计</w:t>
      </w:r>
      <w:r>
        <w:rPr>
          <w:rFonts w:eastAsia="仿宋"/>
          <w:color w:val="auto"/>
          <w:sz w:val="28"/>
          <w:szCs w:val="28"/>
          <w:highlight w:val="none"/>
        </w:rPr>
        <w:t>基础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》（</w:t>
      </w:r>
      <w:r>
        <w:rPr>
          <w:rFonts w:eastAsia="仿宋"/>
          <w:color w:val="auto"/>
          <w:sz w:val="28"/>
          <w:szCs w:val="28"/>
          <w:highlight w:val="none"/>
        </w:rPr>
        <w:t>第</w:t>
      </w:r>
      <w:r>
        <w:rPr>
          <w:rFonts w:hint="eastAsia" w:eastAsia="仿宋"/>
          <w:color w:val="auto"/>
          <w:sz w:val="28"/>
          <w:szCs w:val="28"/>
          <w:highlight w:val="none"/>
        </w:rPr>
        <w:t>七</w:t>
      </w:r>
      <w:r>
        <w:rPr>
          <w:rFonts w:eastAsia="仿宋"/>
          <w:color w:val="auto"/>
          <w:sz w:val="28"/>
          <w:szCs w:val="28"/>
          <w:highlight w:val="none"/>
        </w:rPr>
        <w:t>版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 xml:space="preserve">）. </w:t>
      </w:r>
      <w:r>
        <w:rPr>
          <w:rFonts w:eastAsia="仿宋"/>
          <w:color w:val="auto"/>
          <w:sz w:val="28"/>
          <w:szCs w:val="28"/>
          <w:highlight w:val="none"/>
        </w:rPr>
        <w:t>高等教育出版社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，</w:t>
      </w:r>
      <w:r>
        <w:rPr>
          <w:rFonts w:eastAsia="仿宋"/>
          <w:color w:val="auto"/>
          <w:sz w:val="28"/>
          <w:szCs w:val="28"/>
          <w:highlight w:val="none"/>
        </w:rPr>
        <w:t>2020</w:t>
      </w: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．</w:t>
      </w:r>
    </w:p>
    <w:p w14:paraId="50334FDD">
      <w:pPr>
        <w:spacing w:line="560" w:lineRule="exac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三</w:t>
      </w:r>
      <w:r>
        <w:rPr>
          <w:rFonts w:eastAsia="仿宋"/>
          <w:b/>
          <w:color w:val="auto"/>
          <w:sz w:val="28"/>
          <w:szCs w:val="28"/>
          <w:highlight w:val="none"/>
        </w:rPr>
        <w:t>、考试内容范围</w:t>
      </w:r>
    </w:p>
    <w:p w14:paraId="5B8BB0BE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 xml:space="preserve">（一） </w: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highlight w:val="none"/>
        </w:rPr>
        <w:t>平面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机构自由度及速度分析</w:t>
      </w:r>
    </w:p>
    <w:p w14:paraId="1D03DE21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1、机构的组成要素及基本概念；</w:t>
      </w:r>
    </w:p>
    <w:p w14:paraId="0DD3007E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2、机构运动简图概念及绘制；</w:t>
      </w:r>
    </w:p>
    <w:p w14:paraId="3C073A6D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3、机构自由度；</w:t>
      </w:r>
    </w:p>
    <w:p w14:paraId="6629A6E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4、速度瞬心的概念及</w:t>
      </w:r>
      <w:r>
        <w:rPr>
          <w:rFonts w:eastAsia="仿宋"/>
          <w:color w:val="auto"/>
          <w:sz w:val="28"/>
          <w:szCs w:val="28"/>
          <w:highlight w:val="none"/>
        </w:rPr>
        <w:t>其在机构速度分析上的应用</w:t>
      </w:r>
      <w:r>
        <w:rPr>
          <w:rFonts w:hint="eastAsia" w:eastAsia="仿宋"/>
          <w:color w:val="auto"/>
          <w:sz w:val="28"/>
          <w:szCs w:val="28"/>
          <w:highlight w:val="none"/>
        </w:rPr>
        <w:t>。</w:t>
      </w:r>
    </w:p>
    <w:p w14:paraId="6F558ECC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（二）</w:t>
      </w:r>
      <w:r>
        <w:rPr>
          <w:rFonts w:hint="eastAsia"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  <w:t>平面连杆</w:t>
      </w: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  <w:t>机构</w:t>
      </w:r>
    </w:p>
    <w:p w14:paraId="3EA2B25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1、连杆机构的传动特点及其主要优缺点；</w:t>
      </w:r>
    </w:p>
    <w:p w14:paraId="08ABDA68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2、平面四杆机构的基本形式及其演化；</w:t>
      </w:r>
    </w:p>
    <w:p w14:paraId="62E39B2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3、平面四杆机构曲柄存在条件；</w:t>
      </w:r>
    </w:p>
    <w:p w14:paraId="4054126F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4、平面四杆机构设计方法。</w:t>
      </w:r>
    </w:p>
    <w:p w14:paraId="7453FC92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（三）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凸轮机构</w:t>
      </w:r>
    </w:p>
    <w:p w14:paraId="13B6834E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1、凸轮机构的类型及应用；</w:t>
      </w:r>
    </w:p>
    <w:p w14:paraId="5BD7FC75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2、推杆常用的运动规律及推杆运动规律的选择原则；</w:t>
      </w:r>
    </w:p>
    <w:p w14:paraId="07FD0C65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3、凸轮机构基本尺寸确定时应考虑的主要因素；</w:t>
      </w:r>
    </w:p>
    <w:p w14:paraId="550D5B7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4、凸轮轮廓曲线的设计方法。</w:t>
      </w:r>
    </w:p>
    <w:p w14:paraId="36703891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四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齿轮机构及轮系</w:t>
      </w:r>
    </w:p>
    <w:p w14:paraId="0A36D631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1、齿轮机构的类型及应用；</w:t>
      </w:r>
    </w:p>
    <w:p w14:paraId="74C3BC29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2、齿廓啮合基本定律及渐开线的性质；</w:t>
      </w:r>
    </w:p>
    <w:p w14:paraId="1416711A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3、渐开线直齿圆柱齿轮的基本参数及几何尺寸计算；</w:t>
      </w:r>
    </w:p>
    <w:p w14:paraId="3BFD9DD4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4、渐开线直齿圆柱齿轮的啮合特性、正确啮合及连续传动条件；</w:t>
      </w:r>
    </w:p>
    <w:p w14:paraId="0B9CAE60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5、渐开线齿廓加工原理、根切原理；</w:t>
      </w:r>
    </w:p>
    <w:p w14:paraId="14DA62F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6、渐开线齿轮的变位修正和变位齿轮传动的概念；</w:t>
      </w:r>
    </w:p>
    <w:p w14:paraId="19140350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7、斜齿圆柱齿轮齿廓曲面的形成、啮合特点及几何尺寸计算；</w:t>
      </w:r>
    </w:p>
    <w:p w14:paraId="2FCFDC85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8、标准直齿圆锥齿轮、蜗轮蜗杆的传动特点及基本尺寸计算；</w:t>
      </w:r>
    </w:p>
    <w:p w14:paraId="544BA698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9、轮系的类型和应用；</w:t>
      </w:r>
    </w:p>
    <w:p w14:paraId="7542EB9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color w:val="auto"/>
          <w:sz w:val="28"/>
          <w:szCs w:val="28"/>
          <w:highlight w:val="none"/>
        </w:rPr>
        <w:t>10</w:t>
      </w:r>
      <w:r>
        <w:rPr>
          <w:rFonts w:hint="eastAsia" w:eastAsia="仿宋"/>
          <w:color w:val="auto"/>
          <w:sz w:val="28"/>
          <w:szCs w:val="28"/>
          <w:highlight w:val="none"/>
        </w:rPr>
        <w:t>、定轴、周转及复合轮系的传动比计算与转向判断。</w:t>
      </w:r>
    </w:p>
    <w:p w14:paraId="2355AA12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五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其他常用机构</w:t>
      </w:r>
    </w:p>
    <w:p w14:paraId="286A4BAF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1、槽轮机构、棘轮机构等的组成情况、运动特点和适用场合；</w:t>
      </w:r>
    </w:p>
    <w:p w14:paraId="10E6359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2、常见组合机构的组合方式及其工作特点和应用情况。</w:t>
      </w:r>
    </w:p>
    <w:p w14:paraId="11E2582D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六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机械运转速度波动调节与</w:t>
      </w:r>
      <w:r>
        <w:rPr>
          <w:rFonts w:eastAsia="仿宋"/>
          <w:b/>
          <w:color w:val="auto"/>
          <w:sz w:val="28"/>
          <w:szCs w:val="28"/>
          <w:highlight w:val="none"/>
        </w:rPr>
        <w:t>机械平衡</w:t>
      </w:r>
    </w:p>
    <w:p w14:paraId="335D7A29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1、机械系统周期性速度波动的调节目的</w:t>
      </w:r>
      <w:r>
        <w:rPr>
          <w:rFonts w:eastAsia="仿宋"/>
          <w:color w:val="auto"/>
          <w:sz w:val="28"/>
          <w:szCs w:val="28"/>
          <w:highlight w:val="none"/>
        </w:rPr>
        <w:t>与方法；</w:t>
      </w:r>
    </w:p>
    <w:p w14:paraId="2424392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2、飞轮调速的原理及飞轮设计方法；</w:t>
      </w:r>
    </w:p>
    <w:p w14:paraId="16A51C65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3、刚性转子静、动平衡的目的和方法。</w:t>
      </w:r>
    </w:p>
    <w:p w14:paraId="52A08C36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七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机械零件设计基础知识</w:t>
      </w:r>
    </w:p>
    <w:p w14:paraId="742FE79A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1、机械零件常用材料及热处理方法；</w:t>
      </w:r>
    </w:p>
    <w:p w14:paraId="6CD5060A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2、机械零件的工作载荷与应力；</w:t>
      </w:r>
    </w:p>
    <w:p w14:paraId="43559AA7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3、机械零件的主要失效形式、设计准则和设计步骤；</w:t>
      </w:r>
    </w:p>
    <w:p w14:paraId="461ADD99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4、机械零件的结构工艺性和标准化。</w:t>
      </w:r>
    </w:p>
    <w:p w14:paraId="1A4ACA2A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八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连接</w:t>
      </w:r>
    </w:p>
    <w:p w14:paraId="423A7CF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1、螺纹连接、键连接的结构和参数；</w:t>
      </w:r>
    </w:p>
    <w:p w14:paraId="58D98D3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2、螺栓连接的预紧与防松；</w:t>
      </w:r>
    </w:p>
    <w:p w14:paraId="2D0B3D44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3、螺纹连接、键连接的强度计算；</w:t>
      </w:r>
    </w:p>
    <w:p w14:paraId="233A1BB8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4、螺纹连接、键连接的主要失效形式、设计准则和设计计算方法；</w:t>
      </w:r>
    </w:p>
    <w:p w14:paraId="0746164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5、提高螺栓组连接强度的措施。</w:t>
      </w:r>
    </w:p>
    <w:p w14:paraId="0FB403C3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九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齿轮传动（含蜗杆传动）</w:t>
      </w:r>
    </w:p>
    <w:p w14:paraId="080106C4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1、各类齿轮传动的失效形式、设计准则、受力分析；</w:t>
      </w:r>
    </w:p>
    <w:p w14:paraId="2A6D462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2、齿轮的材料及热处理；</w:t>
      </w:r>
    </w:p>
    <w:p w14:paraId="3D28FB71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3、圆柱齿轮传动的强度计算与分析。</w:t>
      </w:r>
    </w:p>
    <w:p w14:paraId="6842FD82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十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带传动与</w:t>
      </w:r>
      <w:r>
        <w:rPr>
          <w:rFonts w:eastAsia="仿宋"/>
          <w:b/>
          <w:color w:val="auto"/>
          <w:sz w:val="28"/>
          <w:szCs w:val="28"/>
          <w:highlight w:val="none"/>
        </w:rPr>
        <w:t>链传动</w:t>
      </w:r>
    </w:p>
    <w:p w14:paraId="6D044DC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1、带传动的类型、工作原理、特点及应用；</w:t>
      </w:r>
    </w:p>
    <w:p w14:paraId="296DB243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2、带传动的结构参数、受力分析、应力分析与运动分析、弹性滑动与打滑；</w:t>
      </w:r>
    </w:p>
    <w:p w14:paraId="705C8483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3、带传动的失效形式及设计准则；</w:t>
      </w:r>
    </w:p>
    <w:p w14:paraId="28547D11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4、普通V带传动的设计。</w:t>
      </w:r>
    </w:p>
    <w:p w14:paraId="38D82350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十一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轴</w:t>
      </w:r>
    </w:p>
    <w:p w14:paraId="56CF7A6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1、轴的分类；</w:t>
      </w:r>
    </w:p>
    <w:p w14:paraId="70984A3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2、轴的支点配置、受力分析与强度分析；</w:t>
      </w:r>
    </w:p>
    <w:p w14:paraId="1D63F6AD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3、轴及轴上零部件的定位、固定与调整方式；</w:t>
      </w:r>
    </w:p>
    <w:p w14:paraId="1EFB0478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4、轴的结构设计及强度计算；</w:t>
      </w:r>
    </w:p>
    <w:p w14:paraId="58373387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5、轴系结构设计基本知识。</w:t>
      </w:r>
    </w:p>
    <w:p w14:paraId="1114E10D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十二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轴承</w:t>
      </w:r>
    </w:p>
    <w:p w14:paraId="690A6299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1、滚动轴承常用类型、代号及特点；</w:t>
      </w:r>
    </w:p>
    <w:p w14:paraId="4E756E3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2、滚动轴承类型的选择；</w:t>
      </w:r>
    </w:p>
    <w:p w14:paraId="0A12C7C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3、滚动轴承的失效形式及设计准则、滚动轴承尺寸的选择；</w:t>
      </w:r>
    </w:p>
    <w:p w14:paraId="2292156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4、滑动轴承的结构、特点、工作原理及类型；</w:t>
      </w:r>
    </w:p>
    <w:p w14:paraId="594B27F7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5、轴瓦材料与结构；</w:t>
      </w:r>
    </w:p>
    <w:p w14:paraId="334926FE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6、不完全液体润滑滑动轴承的计算与分析。</w:t>
      </w:r>
    </w:p>
    <w:p w14:paraId="4808B50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22B36"/>
    <w:rsid w:val="00046413"/>
    <w:rsid w:val="00065211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71C2F"/>
    <w:rsid w:val="0019143B"/>
    <w:rsid w:val="001A7B6C"/>
    <w:rsid w:val="002009F7"/>
    <w:rsid w:val="0021704B"/>
    <w:rsid w:val="0021753F"/>
    <w:rsid w:val="002426B9"/>
    <w:rsid w:val="00252730"/>
    <w:rsid w:val="002B7DC1"/>
    <w:rsid w:val="002E0864"/>
    <w:rsid w:val="003069DF"/>
    <w:rsid w:val="0036333D"/>
    <w:rsid w:val="00366253"/>
    <w:rsid w:val="003663A6"/>
    <w:rsid w:val="00375C95"/>
    <w:rsid w:val="00384DF6"/>
    <w:rsid w:val="00386000"/>
    <w:rsid w:val="00397051"/>
    <w:rsid w:val="00397EA2"/>
    <w:rsid w:val="003A5AB5"/>
    <w:rsid w:val="003C0433"/>
    <w:rsid w:val="00401899"/>
    <w:rsid w:val="00415200"/>
    <w:rsid w:val="00421872"/>
    <w:rsid w:val="00427404"/>
    <w:rsid w:val="00457FF6"/>
    <w:rsid w:val="0046791C"/>
    <w:rsid w:val="004834F2"/>
    <w:rsid w:val="004923A9"/>
    <w:rsid w:val="00495B6F"/>
    <w:rsid w:val="004A29AE"/>
    <w:rsid w:val="004E3384"/>
    <w:rsid w:val="00523772"/>
    <w:rsid w:val="00530296"/>
    <w:rsid w:val="00581AE4"/>
    <w:rsid w:val="00651683"/>
    <w:rsid w:val="00652D82"/>
    <w:rsid w:val="006548F3"/>
    <w:rsid w:val="006578AF"/>
    <w:rsid w:val="006741CF"/>
    <w:rsid w:val="00692F5A"/>
    <w:rsid w:val="006A2153"/>
    <w:rsid w:val="006A7DA9"/>
    <w:rsid w:val="006B2230"/>
    <w:rsid w:val="006C17CA"/>
    <w:rsid w:val="00762733"/>
    <w:rsid w:val="00783470"/>
    <w:rsid w:val="007B5FCC"/>
    <w:rsid w:val="007C5C7E"/>
    <w:rsid w:val="007E5CF5"/>
    <w:rsid w:val="007F3562"/>
    <w:rsid w:val="007F40B1"/>
    <w:rsid w:val="00803EA1"/>
    <w:rsid w:val="0083118D"/>
    <w:rsid w:val="00851BED"/>
    <w:rsid w:val="00873FA5"/>
    <w:rsid w:val="008A1457"/>
    <w:rsid w:val="008B0E6F"/>
    <w:rsid w:val="008B310D"/>
    <w:rsid w:val="008B545D"/>
    <w:rsid w:val="008C799E"/>
    <w:rsid w:val="00905598"/>
    <w:rsid w:val="00913E59"/>
    <w:rsid w:val="00923C9F"/>
    <w:rsid w:val="00950499"/>
    <w:rsid w:val="0095763F"/>
    <w:rsid w:val="009665AF"/>
    <w:rsid w:val="00977CA4"/>
    <w:rsid w:val="00987BC2"/>
    <w:rsid w:val="0099024A"/>
    <w:rsid w:val="009A2865"/>
    <w:rsid w:val="00A16401"/>
    <w:rsid w:val="00A300F5"/>
    <w:rsid w:val="00A46ECD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BF44E2"/>
    <w:rsid w:val="00BF7A65"/>
    <w:rsid w:val="00C030E3"/>
    <w:rsid w:val="00C253E1"/>
    <w:rsid w:val="00C26CB4"/>
    <w:rsid w:val="00C30D6E"/>
    <w:rsid w:val="00C314D5"/>
    <w:rsid w:val="00C41582"/>
    <w:rsid w:val="00C52480"/>
    <w:rsid w:val="00C61799"/>
    <w:rsid w:val="00C73B07"/>
    <w:rsid w:val="00CB564C"/>
    <w:rsid w:val="00CC1D14"/>
    <w:rsid w:val="00CC26D6"/>
    <w:rsid w:val="00CD3382"/>
    <w:rsid w:val="00D118E6"/>
    <w:rsid w:val="00D17D49"/>
    <w:rsid w:val="00D2737A"/>
    <w:rsid w:val="00D84150"/>
    <w:rsid w:val="00D84360"/>
    <w:rsid w:val="00DE307E"/>
    <w:rsid w:val="00DF69D1"/>
    <w:rsid w:val="00E1030E"/>
    <w:rsid w:val="00E24557"/>
    <w:rsid w:val="00E42E5D"/>
    <w:rsid w:val="00E5270C"/>
    <w:rsid w:val="00E607BF"/>
    <w:rsid w:val="00E759EE"/>
    <w:rsid w:val="00E93531"/>
    <w:rsid w:val="00EA00AD"/>
    <w:rsid w:val="00EB4EB8"/>
    <w:rsid w:val="00ED6336"/>
    <w:rsid w:val="00ED65F8"/>
    <w:rsid w:val="00F05A53"/>
    <w:rsid w:val="00F54780"/>
    <w:rsid w:val="00F54FE0"/>
    <w:rsid w:val="00F8513A"/>
    <w:rsid w:val="00FA4AC7"/>
    <w:rsid w:val="00FA67F6"/>
    <w:rsid w:val="00FB1740"/>
    <w:rsid w:val="00FC1FBB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645468C"/>
    <w:rsid w:val="6A723C8C"/>
    <w:rsid w:val="6C287145"/>
    <w:rsid w:val="6D2A1AC1"/>
    <w:rsid w:val="71E73078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1352</Words>
  <Characters>1374</Characters>
  <Lines>1</Lines>
  <Paragraphs>2</Paragraphs>
  <TotalTime>112</TotalTime>
  <ScaleCrop>false</ScaleCrop>
  <LinksUpToDate>false</LinksUpToDate>
  <CharactersWithSpaces>1386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杜佳慧</cp:lastModifiedBy>
  <cp:lastPrinted>2025-08-27T07:22:00Z</cp:lastPrinted>
  <dcterms:modified xsi:type="dcterms:W3CDTF">2025-09-03T07:51:23Z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